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89" w:rsidRPr="005C40A0" w:rsidRDefault="00EE6089" w:rsidP="00EE60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557C"/>
          <w:kern w:val="36"/>
          <w:sz w:val="36"/>
          <w:szCs w:val="36"/>
          <w:lang w:val="es-ES" w:eastAsia="es-ES"/>
        </w:rPr>
      </w:pPr>
      <w:r>
        <w:rPr>
          <w:rFonts w:ascii="Times New Roman" w:eastAsia="Times New Roman" w:hAnsi="Times New Roman" w:cs="Times New Roman"/>
          <w:color w:val="00557C"/>
          <w:kern w:val="36"/>
          <w:sz w:val="36"/>
          <w:szCs w:val="36"/>
          <w:lang w:val="es-ES" w:eastAsia="es-ES"/>
        </w:rPr>
        <w:t xml:space="preserve">Cronograma: </w:t>
      </w:r>
      <w:r w:rsidRPr="00447CF8">
        <w:rPr>
          <w:rFonts w:ascii="Times New Roman" w:eastAsia="Times New Roman" w:hAnsi="Times New Roman" w:cs="Times New Roman"/>
          <w:color w:val="00557C"/>
          <w:kern w:val="36"/>
          <w:sz w:val="36"/>
          <w:szCs w:val="36"/>
          <w:lang w:val="es-ES" w:eastAsia="es-ES"/>
        </w:rPr>
        <w:t>Especialización en Bioquímica Clínica. Área Inmunología.</w:t>
      </w:r>
    </w:p>
    <w:p w:rsidR="002B7EC9" w:rsidRDefault="00A45AF9" w:rsidP="002B7EC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  <w:r w:rsidR="002B7EC9" w:rsidRPr="002B7EC9">
        <w:rPr>
          <w:lang w:val="es-ES"/>
        </w:rPr>
        <w:tab/>
      </w:r>
    </w:p>
    <w:tbl>
      <w:tblPr>
        <w:tblStyle w:val="Tablaconcuadrcula"/>
        <w:tblW w:w="10406" w:type="dxa"/>
        <w:tblLayout w:type="fixed"/>
        <w:tblLook w:val="04A0" w:firstRow="1" w:lastRow="0" w:firstColumn="1" w:lastColumn="0" w:noHBand="0" w:noVBand="1"/>
      </w:tblPr>
      <w:tblGrid>
        <w:gridCol w:w="4608"/>
        <w:gridCol w:w="1715"/>
        <w:gridCol w:w="4083"/>
      </w:tblGrid>
      <w:tr w:rsidR="009D53EA" w:rsidRPr="0056754F" w:rsidTr="00322754">
        <w:trPr>
          <w:trHeight w:val="148"/>
        </w:trPr>
        <w:tc>
          <w:tcPr>
            <w:tcW w:w="4608" w:type="dxa"/>
          </w:tcPr>
          <w:p w:rsidR="009D53EA" w:rsidRPr="009D53EA" w:rsidRDefault="009D53EA" w:rsidP="009D53EA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PRIMER</w:t>
            </w:r>
            <w:r w:rsidRPr="009D53EA">
              <w:rPr>
                <w:rFonts w:ascii="Times New Roman" w:hAnsi="Times New Roman" w:cs="Times New Roman"/>
                <w:b/>
                <w:lang w:val="es-ES"/>
              </w:rPr>
              <w:t xml:space="preserve"> SEMESTRE: </w:t>
            </w:r>
            <w:r>
              <w:rPr>
                <w:rFonts w:ascii="Times New Roman" w:hAnsi="Times New Roman" w:cs="Times New Roman"/>
                <w:b/>
                <w:lang w:val="es-ES"/>
              </w:rPr>
              <w:t xml:space="preserve">Febrero a Julio </w:t>
            </w:r>
            <w:r w:rsidRPr="009D53EA">
              <w:rPr>
                <w:rFonts w:ascii="Times New Roman" w:hAnsi="Times New Roman" w:cs="Times New Roman"/>
                <w:b/>
                <w:lang w:val="es-ES"/>
              </w:rPr>
              <w:t>2026</w:t>
            </w:r>
          </w:p>
        </w:tc>
        <w:tc>
          <w:tcPr>
            <w:tcW w:w="1715" w:type="dxa"/>
          </w:tcPr>
          <w:p w:rsidR="009D53EA" w:rsidRPr="00EE6089" w:rsidRDefault="009D53EA" w:rsidP="002B7EC9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083" w:type="dxa"/>
          </w:tcPr>
          <w:p w:rsidR="009D53EA" w:rsidRPr="00EE6089" w:rsidRDefault="009D53EA" w:rsidP="002B7EC9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9362C4" w:rsidRPr="00EE6089" w:rsidTr="00322754">
        <w:trPr>
          <w:trHeight w:val="148"/>
        </w:trPr>
        <w:tc>
          <w:tcPr>
            <w:tcW w:w="4608" w:type="dxa"/>
          </w:tcPr>
          <w:p w:rsidR="009362C4" w:rsidRPr="009D53EA" w:rsidRDefault="009362C4" w:rsidP="002B7EC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D53EA">
              <w:rPr>
                <w:rFonts w:ascii="Times New Roman" w:hAnsi="Times New Roman" w:cs="Times New Roman"/>
                <w:b/>
                <w:lang w:val="es-ES"/>
              </w:rPr>
              <w:t>Módulo I-INMUNOLOGÍA BÁSICA</w:t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Fechas</w:t>
            </w:r>
          </w:p>
        </w:tc>
        <w:tc>
          <w:tcPr>
            <w:tcW w:w="4083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Contenidos mínimos</w:t>
            </w:r>
          </w:p>
        </w:tc>
      </w:tr>
      <w:tr w:rsidR="009362C4" w:rsidRPr="0056754F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</w:p>
          <w:p w:rsidR="009362C4" w:rsidRPr="00EE6089" w:rsidRDefault="009362C4" w:rsidP="002B7EC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Actualización en conceptos básicos de Inmunología.</w:t>
            </w: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27-28 Febrero</w:t>
            </w:r>
          </w:p>
        </w:tc>
        <w:tc>
          <w:tcPr>
            <w:tcW w:w="4083" w:type="dxa"/>
          </w:tcPr>
          <w:p w:rsidR="009362C4" w:rsidRPr="00EE6089" w:rsidRDefault="009362C4" w:rsidP="00A5556B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Características generales de la respuesta inmune. Respuesta inmune innata y adquirida. Reconocimiento inmune. Respuesta inmune mediada por anticuerpos y células. Inflamación. Metodologías empleadas para el estudio de la inmunidad innata y adaptativa. </w:t>
            </w:r>
          </w:p>
        </w:tc>
      </w:tr>
      <w:tr w:rsidR="009362C4" w:rsidRPr="0056754F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2B7EC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Actualización en Metodologías utilizadas en estudios de inmunología básica y clínica</w:t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20-21</w:t>
            </w: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Marzo</w:t>
            </w:r>
          </w:p>
        </w:tc>
        <w:tc>
          <w:tcPr>
            <w:tcW w:w="4083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Citometría de Flujo. Fundamento. Avances en marcación de superficie, fenotipificación y en el estudio de moléculas intracelulares. </w:t>
            </w: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Uso de tetrámeros para la determinación de respuesta celular específica. Reseña de las aplicaciones de la citometría de flujo en el diagnóstico inmunológico. Interpretación de resultados.</w:t>
            </w: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Estudios de funcionalidad celular. Tecnologías de biología molecular y sus aplicaciones en inmunodiagnóstico. </w:t>
            </w:r>
          </w:p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Aportes de la investigación básica al avance de la inmunología: aportes de animales modificados genéticamente (transgénicos, knock-out, knock-in), mutagénesis, selec</w:t>
            </w:r>
            <w:r>
              <w:rPr>
                <w:rFonts w:ascii="Times New Roman" w:hAnsi="Times New Roman" w:cs="Times New Roman"/>
                <w:lang w:val="es-ES"/>
              </w:rPr>
              <w:t>ción condicional de genes, etc.</w:t>
            </w:r>
          </w:p>
        </w:tc>
      </w:tr>
      <w:tr w:rsidR="009362C4" w:rsidRPr="0056754F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2B7EC9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Ontogenia y Regulación de la Respuesta Inmune</w:t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8-9 Mayo</w:t>
            </w:r>
          </w:p>
        </w:tc>
        <w:tc>
          <w:tcPr>
            <w:tcW w:w="4083" w:type="dxa"/>
          </w:tcPr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Mecanismos de Tolerancia Central. Desarrollo de células CD4 y CD8 y selección positiva y negativa de células T. Factores de transcripción involucrados.</w:t>
            </w:r>
          </w:p>
          <w:p w:rsidR="009362C4" w:rsidRPr="00EE6089" w:rsidRDefault="009362C4" w:rsidP="00905430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Ontogenia de células T regulatorias (Treg) naturales. Células NKT. Caracterización y función. Ontogenia de células NKT. Células Tγδ. Caracterización y función. Ontogenia de células Tγδ. </w:t>
            </w:r>
          </w:p>
        </w:tc>
      </w:tr>
      <w:tr w:rsidR="009362C4" w:rsidRPr="0056754F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58120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Inmunidad de Piel y Mucosas</w:t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29-30 Mayo</w:t>
            </w:r>
          </w:p>
        </w:tc>
        <w:tc>
          <w:tcPr>
            <w:tcW w:w="4083" w:type="dxa"/>
          </w:tcPr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Inmunidad de la Piel y las Mucosas. Generalidades. Organización y Función del sistema inmunológico en piel y mucosas. Claves para entender la inmunidad intestinal. Características distintivas de las respuestas inmunes. </w:t>
            </w:r>
          </w:p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Barrera epitelial, inmunidad innata, microbiota. Vías de Acceso de los Antí</w:t>
            </w:r>
            <w:r>
              <w:rPr>
                <w:rFonts w:ascii="Times New Roman" w:hAnsi="Times New Roman" w:cs="Times New Roman"/>
                <w:lang w:val="es-ES"/>
              </w:rPr>
              <w:t>genos. Funciones únicas de las c</w:t>
            </w:r>
            <w:r w:rsidRPr="00EE6089">
              <w:rPr>
                <w:rFonts w:ascii="Times New Roman" w:hAnsi="Times New Roman" w:cs="Times New Roman"/>
                <w:lang w:val="es-ES"/>
              </w:rPr>
              <w:t>élulas Presentadoras de Antígeno.</w:t>
            </w:r>
          </w:p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lastRenderedPageBreak/>
              <w:t xml:space="preserve">Mecanismos de la inmunidad adaptativa en el intestino. Función efectora. Inmunoglobulina A secretoria. Producción </w:t>
            </w:r>
            <w:r>
              <w:rPr>
                <w:rFonts w:ascii="Times New Roman" w:hAnsi="Times New Roman" w:cs="Times New Roman"/>
                <w:lang w:val="es-ES"/>
              </w:rPr>
              <w:t xml:space="preserve">de Anticuerpos </w:t>
            </w:r>
            <w:r w:rsidRPr="00EE6089">
              <w:rPr>
                <w:rFonts w:ascii="Times New Roman" w:hAnsi="Times New Roman" w:cs="Times New Roman"/>
                <w:lang w:val="es-ES"/>
              </w:rPr>
              <w:t xml:space="preserve">T dependiente y T independiente. Linfocitos intraepiteliales. </w:t>
            </w:r>
          </w:p>
          <w:p w:rsidR="009362C4" w:rsidRPr="00EE6089" w:rsidRDefault="009362C4" w:rsidP="00EE608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Inducción de tolerancia. Células T regulatorias intestinales. Circuito Entero-Mamario. Des</w:t>
            </w:r>
            <w:r w:rsidR="005D1398">
              <w:rPr>
                <w:rFonts w:ascii="Times New Roman" w:hAnsi="Times New Roman" w:cs="Times New Roman"/>
                <w:lang w:val="es-ES"/>
              </w:rPr>
              <w:t xml:space="preserve">órdenes gastrointestinales en </w:t>
            </w:r>
            <w:r w:rsidRPr="00EE6089">
              <w:rPr>
                <w:rFonts w:ascii="Times New Roman" w:hAnsi="Times New Roman" w:cs="Times New Roman"/>
                <w:lang w:val="es-ES"/>
              </w:rPr>
              <w:t xml:space="preserve"> infección. Mecanismos inmunopatológicos de enfermedades asociadas a mucosas y piel. Diagnósticos y tratamientos generales y específicos. </w:t>
            </w:r>
          </w:p>
        </w:tc>
      </w:tr>
      <w:tr w:rsidR="009362C4" w:rsidRPr="0056754F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lastRenderedPageBreak/>
              <w:t>5. Taller 1: Introducción a la Metodología de la investigación y Búsqueda Bibliográfica orientada al TFI</w:t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12-13 Junio</w:t>
            </w:r>
          </w:p>
        </w:tc>
        <w:tc>
          <w:tcPr>
            <w:tcW w:w="4083" w:type="dxa"/>
          </w:tcPr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Introducción al estudio de la metodología de la investigación. Sus formas y componentes. Elaboración de un protocolo de trabajo, búsqueda de antecedentes, marco teórico, distintos tipos de investigaciones. </w:t>
            </w:r>
          </w:p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Diseños metodológicos, variables, distintos tipos. Obtención, recolección y presentación de datos, elaboración del informe final, resultados, conclusiones, bibliografía, citas bibliográficas.</w:t>
            </w:r>
          </w:p>
          <w:p w:rsidR="009362C4" w:rsidRPr="00EE6089" w:rsidRDefault="009362C4" w:rsidP="0058120E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ab/>
            </w:r>
          </w:p>
        </w:tc>
      </w:tr>
      <w:tr w:rsidR="009362C4" w:rsidRPr="00EE6089" w:rsidTr="00322754">
        <w:trPr>
          <w:trHeight w:val="148"/>
        </w:trPr>
        <w:tc>
          <w:tcPr>
            <w:tcW w:w="4608" w:type="dxa"/>
          </w:tcPr>
          <w:p w:rsidR="009362C4" w:rsidRPr="00EE6089" w:rsidRDefault="009362C4" w:rsidP="001A4AD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 xml:space="preserve">Actividad practica: Realizar búsquedas bibliográficas orientadas a la propuesta de proyecto para el TFI </w:t>
            </w:r>
            <w:r w:rsidRPr="00EE6089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1715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12-13 Junio</w:t>
            </w:r>
          </w:p>
        </w:tc>
        <w:tc>
          <w:tcPr>
            <w:tcW w:w="4083" w:type="dxa"/>
          </w:tcPr>
          <w:p w:rsidR="009362C4" w:rsidRPr="00EE6089" w:rsidRDefault="009362C4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Identificar los conceptos sobre los que se desea obtener información y hacer una relación de los términos que los van a representar. Describir herramientas y metodologías de búsqueda. Plantear la estrategia de búsqueda y revisar el resultado obtenido. Propuesta de Tutores</w:t>
            </w:r>
          </w:p>
        </w:tc>
      </w:tr>
      <w:tr w:rsidR="0056754F" w:rsidRPr="0056754F" w:rsidTr="00280245">
        <w:trPr>
          <w:trHeight w:val="148"/>
        </w:trPr>
        <w:tc>
          <w:tcPr>
            <w:tcW w:w="4608" w:type="dxa"/>
          </w:tcPr>
          <w:p w:rsidR="0056754F" w:rsidRPr="00EE6089" w:rsidRDefault="0056754F" w:rsidP="001A4AD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Examen módulo I </w:t>
            </w:r>
          </w:p>
        </w:tc>
        <w:tc>
          <w:tcPr>
            <w:tcW w:w="5798" w:type="dxa"/>
            <w:gridSpan w:val="2"/>
          </w:tcPr>
          <w:p w:rsidR="0056754F" w:rsidRPr="00EE6089" w:rsidRDefault="0056754F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Fecha a definir entre el 1-7 Julio.</w:t>
            </w:r>
          </w:p>
        </w:tc>
      </w:tr>
    </w:tbl>
    <w:p w:rsidR="002B7EC9" w:rsidRPr="002B7EC9" w:rsidRDefault="002B7EC9" w:rsidP="002B7EC9">
      <w:pPr>
        <w:rPr>
          <w:lang w:val="es-ES"/>
        </w:rPr>
      </w:pP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</w:p>
    <w:p w:rsidR="009D53EA" w:rsidRDefault="002B7EC9" w:rsidP="002B7EC9">
      <w:pPr>
        <w:rPr>
          <w:lang w:val="es-ES"/>
        </w:rPr>
      </w:pPr>
      <w:r w:rsidRPr="002B7EC9">
        <w:rPr>
          <w:lang w:val="es-ES"/>
        </w:rPr>
        <w:tab/>
      </w:r>
      <w:r w:rsidRPr="002B7EC9">
        <w:rPr>
          <w:lang w:val="es-ES"/>
        </w:rPr>
        <w:tab/>
      </w:r>
    </w:p>
    <w:p w:rsidR="009D53EA" w:rsidRDefault="009D53EA" w:rsidP="002B7EC9">
      <w:pPr>
        <w:rPr>
          <w:lang w:val="es-ES"/>
        </w:rPr>
      </w:pPr>
    </w:p>
    <w:p w:rsidR="009D53EA" w:rsidRDefault="009D53EA" w:rsidP="002B7EC9">
      <w:pPr>
        <w:rPr>
          <w:lang w:val="es-ES"/>
        </w:rPr>
      </w:pPr>
    </w:p>
    <w:p w:rsidR="009D53EA" w:rsidRDefault="009D53EA" w:rsidP="002B7EC9">
      <w:pPr>
        <w:rPr>
          <w:lang w:val="es-ES"/>
        </w:rPr>
      </w:pPr>
    </w:p>
    <w:p w:rsidR="009D53EA" w:rsidRDefault="009D53EA" w:rsidP="002B7EC9">
      <w:pPr>
        <w:rPr>
          <w:lang w:val="es-ES"/>
        </w:rPr>
      </w:pPr>
    </w:p>
    <w:p w:rsidR="009D53EA" w:rsidRDefault="009D53EA" w:rsidP="002B7EC9">
      <w:pPr>
        <w:rPr>
          <w:lang w:val="es-ES"/>
        </w:rPr>
      </w:pPr>
    </w:p>
    <w:p w:rsidR="009D53EA" w:rsidRDefault="009D53EA" w:rsidP="002B7EC9">
      <w:pPr>
        <w:rPr>
          <w:lang w:val="es-ES"/>
        </w:rPr>
      </w:pPr>
    </w:p>
    <w:p w:rsidR="002B7EC9" w:rsidRPr="002B7EC9" w:rsidRDefault="002B7EC9" w:rsidP="002B7EC9">
      <w:pPr>
        <w:rPr>
          <w:lang w:val="es-ES"/>
        </w:rPr>
      </w:pP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="001A4ADC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</w:p>
    <w:tbl>
      <w:tblPr>
        <w:tblStyle w:val="Tablaconcuadrcula"/>
        <w:tblW w:w="10140" w:type="dxa"/>
        <w:tblLook w:val="04A0" w:firstRow="1" w:lastRow="0" w:firstColumn="1" w:lastColumn="0" w:noHBand="0" w:noVBand="1"/>
      </w:tblPr>
      <w:tblGrid>
        <w:gridCol w:w="4788"/>
        <w:gridCol w:w="1350"/>
        <w:gridCol w:w="4002"/>
      </w:tblGrid>
      <w:tr w:rsidR="00A14D50" w:rsidTr="00593F68">
        <w:trPr>
          <w:trHeight w:val="614"/>
        </w:trPr>
        <w:tc>
          <w:tcPr>
            <w:tcW w:w="4788" w:type="dxa"/>
          </w:tcPr>
          <w:p w:rsidR="00A14D50" w:rsidRPr="009D53EA" w:rsidRDefault="00A14D50" w:rsidP="002B7EC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D53EA">
              <w:rPr>
                <w:rFonts w:ascii="Times New Roman" w:hAnsi="Times New Roman" w:cs="Times New Roman"/>
                <w:b/>
                <w:lang w:val="es-ES"/>
              </w:rPr>
              <w:lastRenderedPageBreak/>
              <w:t>SEGUNDO SEMESTRE: Julio - Diciembre 2026</w:t>
            </w:r>
          </w:p>
        </w:tc>
        <w:tc>
          <w:tcPr>
            <w:tcW w:w="1350" w:type="dxa"/>
          </w:tcPr>
          <w:p w:rsidR="00A14D50" w:rsidRPr="00570671" w:rsidRDefault="00A14D50" w:rsidP="002B7EC9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4002" w:type="dxa"/>
          </w:tcPr>
          <w:p w:rsidR="00A14D50" w:rsidRPr="00EE6089" w:rsidRDefault="00A14D50" w:rsidP="00B67344">
            <w:pPr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A45AF9" w:rsidTr="00593F68">
        <w:trPr>
          <w:trHeight w:val="614"/>
        </w:trPr>
        <w:tc>
          <w:tcPr>
            <w:tcW w:w="4788" w:type="dxa"/>
          </w:tcPr>
          <w:p w:rsidR="00A45AF9" w:rsidRPr="009D53EA" w:rsidRDefault="00A45AF9" w:rsidP="002B7EC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9D53EA">
              <w:rPr>
                <w:rFonts w:ascii="Times New Roman" w:hAnsi="Times New Roman" w:cs="Times New Roman"/>
                <w:b/>
                <w:lang w:val="es-ES"/>
              </w:rPr>
              <w:t>Módulo II-INMUNOLOGÍA AVANZADA</w:t>
            </w:r>
          </w:p>
        </w:tc>
        <w:tc>
          <w:tcPr>
            <w:tcW w:w="1350" w:type="dxa"/>
          </w:tcPr>
          <w:p w:rsidR="00A45AF9" w:rsidRPr="00570671" w:rsidRDefault="00A45AF9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570671">
              <w:rPr>
                <w:rFonts w:ascii="Times New Roman" w:hAnsi="Times New Roman" w:cs="Times New Roman"/>
                <w:lang w:val="es-ES"/>
              </w:rPr>
              <w:t>Fechas</w:t>
            </w:r>
          </w:p>
        </w:tc>
        <w:tc>
          <w:tcPr>
            <w:tcW w:w="4002" w:type="dxa"/>
          </w:tcPr>
          <w:p w:rsidR="00A45AF9" w:rsidRPr="00EE6089" w:rsidRDefault="00A45AF9" w:rsidP="00B67344">
            <w:pPr>
              <w:rPr>
                <w:rFonts w:ascii="Times New Roman" w:hAnsi="Times New Roman" w:cs="Times New Roman"/>
                <w:lang w:val="es-ES"/>
              </w:rPr>
            </w:pPr>
            <w:r w:rsidRPr="00EE6089">
              <w:rPr>
                <w:rFonts w:ascii="Times New Roman" w:hAnsi="Times New Roman" w:cs="Times New Roman"/>
                <w:lang w:val="es-ES"/>
              </w:rPr>
              <w:t>Contenidos mínimos</w:t>
            </w:r>
          </w:p>
        </w:tc>
      </w:tr>
      <w:tr w:rsidR="00A45AF9" w:rsidRPr="0056754F" w:rsidTr="00593F68">
        <w:trPr>
          <w:trHeight w:val="653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B67104">
              <w:rPr>
                <w:rFonts w:ascii="Times New Roman" w:hAnsi="Times New Roman" w:cs="Times New Roman"/>
                <w:lang w:val="es-ES"/>
              </w:rPr>
              <w:t xml:space="preserve"> Infección y Diagnóstico de Enfermedades Infecciosas I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17-18 Julio</w:t>
            </w:r>
          </w:p>
        </w:tc>
        <w:tc>
          <w:tcPr>
            <w:tcW w:w="4002" w:type="dxa"/>
          </w:tcPr>
          <w:p w:rsidR="00A45AF9" w:rsidRPr="00A45AF9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>Respuesta inmune innata y adquirida frente a las infecciones. Complejidad de la respuesta inmune frente a los diferentes patógenos: virus, bacterias, hongos y parásitos. Mecanismos inmunológicos involucrados en la respuesta protectiva y patogénica.</w:t>
            </w:r>
          </w:p>
          <w:p w:rsidR="00A45AF9" w:rsidRPr="00A45AF9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 xml:space="preserve">Infecciones bacterianas: respuesta inmune durante la sepsis, Tuberculosis, Síndrome urémico hemolítico y biofilms como factor de virulencia emergente. </w:t>
            </w:r>
          </w:p>
          <w:p w:rsidR="00A45AF9" w:rsidRPr="00A45AF9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>Infecciones provocadas por hongos patógenos humanos: Micosis superficiales y profundas. Candidiasis, aspergillosis y Coccidioidomicosis.</w:t>
            </w:r>
          </w:p>
          <w:p w:rsidR="00A45AF9" w:rsidRPr="00A45AF9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>Infecciones por parásitos protozoarios: Toxoplasmosis, enfermedad de Chagas y Leishmaniasis. Infecciones con helmintos. Avances en inmunoterapia de enfermedades infecciosas.</w:t>
            </w:r>
          </w:p>
          <w:p w:rsidR="00A45AF9" w:rsidRPr="00570671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 xml:space="preserve">Diagnóstico de enfermedades producidas por bacterias, hongos y parásitos utilizando métodos inmunológicos y/o técnicas de biología molecular. </w:t>
            </w:r>
          </w:p>
        </w:tc>
      </w:tr>
      <w:tr w:rsidR="00A45AF9" w:rsidRPr="0056754F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B67104">
              <w:rPr>
                <w:rFonts w:ascii="Times New Roman" w:hAnsi="Times New Roman" w:cs="Times New Roman"/>
                <w:lang w:val="es-ES"/>
              </w:rPr>
              <w:t xml:space="preserve"> Infección y Diagnóstico de Enfermedades Infecciosas II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7-8 Agosto</w:t>
            </w:r>
          </w:p>
        </w:tc>
        <w:tc>
          <w:tcPr>
            <w:tcW w:w="4002" w:type="dxa"/>
          </w:tcPr>
          <w:p w:rsidR="00A45AF9" w:rsidRPr="00A45AF9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>Infecciones virales: respuesta inmune y mecanismos inmunopatogénicos desencadenados por infecciones con virus de la Hepatitis B y C, Dengue, Zika, Chikungunya, Influenza, SARS CoV 1 y 2, virus del Papiloma humano y HIV.</w:t>
            </w:r>
          </w:p>
          <w:p w:rsidR="00A45AF9" w:rsidRPr="00570671" w:rsidRDefault="00A45AF9" w:rsidP="00A45AF9">
            <w:p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t xml:space="preserve">Diagnóstico y Evolución de hepatitis B y C; Epidemiología del virus Influenza. El laboratorio en el diagnóstico y seguimiento de infección por HIV. </w:t>
            </w:r>
          </w:p>
        </w:tc>
      </w:tr>
      <w:tr w:rsidR="00A45AF9" w:rsidRPr="0056754F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B67104">
              <w:rPr>
                <w:rFonts w:ascii="Times New Roman" w:hAnsi="Times New Roman" w:cs="Times New Roman"/>
                <w:lang w:val="es-ES"/>
              </w:rPr>
              <w:t xml:space="preserve">Análisis de Casos </w:t>
            </w:r>
            <w:r w:rsidR="00C9016F" w:rsidRPr="00B67104">
              <w:rPr>
                <w:rFonts w:ascii="Times New Roman" w:hAnsi="Times New Roman" w:cs="Times New Roman"/>
                <w:lang w:val="es-ES"/>
              </w:rPr>
              <w:t>Clínicos</w:t>
            </w:r>
            <w:r w:rsidRPr="00B67104">
              <w:rPr>
                <w:rFonts w:ascii="Times New Roman" w:hAnsi="Times New Roman" w:cs="Times New Roman"/>
                <w:lang w:val="es-ES"/>
              </w:rPr>
              <w:t xml:space="preserve"> I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28- 29 Agosto</w:t>
            </w:r>
          </w:p>
        </w:tc>
        <w:tc>
          <w:tcPr>
            <w:tcW w:w="4002" w:type="dxa"/>
          </w:tcPr>
          <w:p w:rsidR="002670C2" w:rsidRPr="002670C2" w:rsidRDefault="002670C2" w:rsidP="002670C2">
            <w:pPr>
              <w:rPr>
                <w:rFonts w:ascii="Times New Roman" w:hAnsi="Times New Roman" w:cs="Times New Roman"/>
                <w:lang w:val="es-ES"/>
              </w:rPr>
            </w:pPr>
            <w:r w:rsidRPr="002670C2">
              <w:rPr>
                <w:rFonts w:ascii="Times New Roman" w:hAnsi="Times New Roman" w:cs="Times New Roman"/>
                <w:lang w:val="es-ES"/>
              </w:rPr>
              <w:t xml:space="preserve">Exposición y discusión guiada por Bioquímicos Especialistas en Inmunología de casos clínicos seleccionados de la bibliografía o de los ámbitos laborales en los que se desempeñan los propios especializandos. </w:t>
            </w:r>
          </w:p>
          <w:p w:rsidR="00A45AF9" w:rsidRPr="00570671" w:rsidRDefault="002670C2" w:rsidP="002670C2">
            <w:pPr>
              <w:rPr>
                <w:rFonts w:ascii="Times New Roman" w:hAnsi="Times New Roman" w:cs="Times New Roman"/>
                <w:lang w:val="es-ES"/>
              </w:rPr>
            </w:pPr>
            <w:r w:rsidRPr="002670C2">
              <w:rPr>
                <w:rFonts w:ascii="Times New Roman" w:hAnsi="Times New Roman" w:cs="Times New Roman"/>
                <w:lang w:val="es-ES"/>
              </w:rPr>
              <w:t>Estrategias de análisis de los casos. Integración de conceptos teóricos. Propuesta de ensa</w:t>
            </w:r>
            <w:r>
              <w:rPr>
                <w:rFonts w:ascii="Times New Roman" w:hAnsi="Times New Roman" w:cs="Times New Roman"/>
                <w:lang w:val="es-ES"/>
              </w:rPr>
              <w:t>yos de laboratorio alternativos.</w:t>
            </w:r>
          </w:p>
        </w:tc>
      </w:tr>
      <w:tr w:rsidR="00A45AF9" w:rsidRPr="00570671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A45AF9">
              <w:rPr>
                <w:rFonts w:ascii="Times New Roman" w:hAnsi="Times New Roman" w:cs="Times New Roman"/>
                <w:lang w:val="es-ES"/>
              </w:rPr>
              <w:lastRenderedPageBreak/>
              <w:t xml:space="preserve"> </w:t>
            </w:r>
            <w:r w:rsidRPr="00B67104">
              <w:rPr>
                <w:rFonts w:ascii="Times New Roman" w:hAnsi="Times New Roman" w:cs="Times New Roman"/>
              </w:rPr>
              <w:t>Inmunoneuroendocrinología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11-12 Septiembre</w:t>
            </w:r>
          </w:p>
        </w:tc>
        <w:tc>
          <w:tcPr>
            <w:tcW w:w="4002" w:type="dxa"/>
          </w:tcPr>
          <w:p w:rsidR="00C9016F" w:rsidRPr="00C9016F" w:rsidRDefault="00C9016F" w:rsidP="00C9016F">
            <w:pPr>
              <w:rPr>
                <w:rFonts w:ascii="Times New Roman" w:hAnsi="Times New Roman" w:cs="Times New Roman"/>
                <w:lang w:val="es-ES"/>
              </w:rPr>
            </w:pPr>
            <w:r w:rsidRPr="00C9016F">
              <w:rPr>
                <w:rFonts w:ascii="Times New Roman" w:hAnsi="Times New Roman" w:cs="Times New Roman"/>
                <w:lang w:val="es-ES"/>
              </w:rPr>
              <w:t>Generalidades. Mediadores bioquímicos de las interacciones inmuno-neuroendócrinas.</w:t>
            </w:r>
          </w:p>
          <w:p w:rsidR="00C9016F" w:rsidRPr="00C9016F" w:rsidRDefault="00C9016F" w:rsidP="00C9016F">
            <w:pPr>
              <w:rPr>
                <w:rFonts w:ascii="Times New Roman" w:hAnsi="Times New Roman" w:cs="Times New Roman"/>
                <w:lang w:val="es-ES"/>
              </w:rPr>
            </w:pPr>
            <w:r w:rsidRPr="00C9016F">
              <w:rPr>
                <w:rFonts w:ascii="Times New Roman" w:hAnsi="Times New Roman" w:cs="Times New Roman"/>
                <w:lang w:val="es-ES"/>
              </w:rPr>
              <w:t>Glucocorticoides endógenos y la regulación de la función inmune. Ritmos circadianos y función inmunológica. Hormonas y la función Inmune. Dimorfismo de la respuesta inflamatoria.</w:t>
            </w:r>
          </w:p>
          <w:p w:rsidR="00A45AF9" w:rsidRPr="00570671" w:rsidRDefault="00C9016F" w:rsidP="00C9016F">
            <w:pPr>
              <w:rPr>
                <w:rFonts w:ascii="Times New Roman" w:hAnsi="Times New Roman" w:cs="Times New Roman"/>
                <w:lang w:val="es-ES"/>
              </w:rPr>
            </w:pPr>
            <w:r w:rsidRPr="00C9016F">
              <w:rPr>
                <w:rFonts w:ascii="Times New Roman" w:hAnsi="Times New Roman" w:cs="Times New Roman"/>
                <w:lang w:val="es-ES"/>
              </w:rPr>
              <w:t xml:space="preserve">La respuesta biológica del estrés. Estrés y sistema inmune. Síndrome Metabólico. Envejecimiento y sistema inmune Inflamación e Inmunidad Innata en el Sistema Nervioso Central en neuropatologías. Mecanismos Patogénicos de enfermedades neurodegenerativas. </w:t>
            </w:r>
          </w:p>
        </w:tc>
      </w:tr>
      <w:tr w:rsidR="00A45AF9" w:rsidRPr="0056754F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C9016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B67104">
              <w:rPr>
                <w:rFonts w:ascii="Times New Roman" w:hAnsi="Times New Roman" w:cs="Times New Roman"/>
              </w:rPr>
              <w:t>Inmunología del Trasplante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2-3 Octubre</w:t>
            </w:r>
          </w:p>
        </w:tc>
        <w:tc>
          <w:tcPr>
            <w:tcW w:w="4002" w:type="dxa"/>
          </w:tcPr>
          <w:p w:rsidR="00C9737D" w:rsidRPr="00C9737D" w:rsidRDefault="00C9737D" w:rsidP="00C9737D">
            <w:pPr>
              <w:rPr>
                <w:rFonts w:ascii="Times New Roman" w:hAnsi="Times New Roman" w:cs="Times New Roman"/>
                <w:lang w:val="es-ES"/>
              </w:rPr>
            </w:pPr>
            <w:r w:rsidRPr="00C9737D">
              <w:rPr>
                <w:rFonts w:ascii="Times New Roman" w:hAnsi="Times New Roman" w:cs="Times New Roman"/>
                <w:lang w:val="es-ES"/>
              </w:rPr>
              <w:t>Sistema HLA: Herencia, estructura de los antígenos HLA, polimorfismo, desequilibrio de ligamento, nomenclatura. Vías de alorreconocimiento. Activación de linfocitos T alorreactivos y mecanismos de rechazo de aloinjertos.</w:t>
            </w:r>
          </w:p>
          <w:p w:rsidR="00C9737D" w:rsidRPr="00C9737D" w:rsidRDefault="00C9737D" w:rsidP="00C9737D">
            <w:pPr>
              <w:rPr>
                <w:rFonts w:ascii="Times New Roman" w:hAnsi="Times New Roman" w:cs="Times New Roman"/>
                <w:lang w:val="es-ES"/>
              </w:rPr>
            </w:pPr>
            <w:r w:rsidRPr="00C9737D">
              <w:rPr>
                <w:rFonts w:ascii="Times New Roman" w:hAnsi="Times New Roman" w:cs="Times New Roman"/>
                <w:lang w:val="es-ES"/>
              </w:rPr>
              <w:t>Tipificación HLA: metodologías utilizadas y resultados obtenidos para cada tipo de trasplante. Crossmatch contra donante: Citotoxicidad dependiente de complemento, citometría de flujo. Resultados, interpretación, implicancia en el resultado del trasplante.</w:t>
            </w:r>
          </w:p>
          <w:p w:rsidR="00A45AF9" w:rsidRPr="00570671" w:rsidRDefault="00C9737D" w:rsidP="00C9737D">
            <w:pPr>
              <w:rPr>
                <w:rFonts w:ascii="Times New Roman" w:hAnsi="Times New Roman" w:cs="Times New Roman"/>
                <w:lang w:val="es-ES"/>
              </w:rPr>
            </w:pPr>
            <w:r w:rsidRPr="00C9737D">
              <w:rPr>
                <w:rFonts w:ascii="Times New Roman" w:hAnsi="Times New Roman" w:cs="Times New Roman"/>
                <w:lang w:val="es-ES"/>
              </w:rPr>
              <w:t xml:space="preserve">Detección de anticuerpos por fase sólida: Panel y especificidad de anticuerpos. Monitoreo pre y postrasplante: Algoritmos sugeridos, implicancia clínica de los resultados, interpretación de resultados, crossmatch virtual. </w:t>
            </w:r>
          </w:p>
        </w:tc>
      </w:tr>
      <w:tr w:rsidR="00A45AF9" w:rsidRPr="00570671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9737D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B67104">
              <w:rPr>
                <w:rFonts w:ascii="Times New Roman" w:hAnsi="Times New Roman" w:cs="Times New Roman"/>
              </w:rPr>
              <w:t>Vacunas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23-24 Octubre</w:t>
            </w:r>
          </w:p>
        </w:tc>
        <w:tc>
          <w:tcPr>
            <w:tcW w:w="4002" w:type="dxa"/>
          </w:tcPr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Vacunación. Generalidades y conceptos básicos. Historia. Valor social e impacto sanitario. Situación global y en las Américas.</w:t>
            </w:r>
          </w:p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Aspectos generales de las vacunas. Componentes (antígeno, adyuvante, formulación). Tipos de vacunas. Eficacia y efectividad. Seguridad. Mitos y verdades. Factores condicionantes de respuesta. Inmunidad de rebaño. Vacunología sistémica.</w:t>
            </w:r>
          </w:p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Inmunidad pasiva y activa.</w:t>
            </w:r>
          </w:p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 xml:space="preserve">Vacunas del calendario nacional de vacunación. Vacunas en grupos especiales (embarazadas, inmunocomprometidos, adulto mayor, equipo de salud, etc). </w:t>
            </w:r>
            <w:r w:rsidRPr="004C3150">
              <w:rPr>
                <w:rFonts w:ascii="Times New Roman" w:hAnsi="Times New Roman" w:cs="Times New Roman"/>
                <w:lang w:val="es-ES"/>
              </w:rPr>
              <w:lastRenderedPageBreak/>
              <w:t xml:space="preserve">Vacunas del viajero. Alcances de la nueva ley de vacunas. </w:t>
            </w:r>
          </w:p>
          <w:p w:rsidR="00A45AF9" w:rsidRPr="00570671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El camino del desarrollo d</w:t>
            </w:r>
            <w:r>
              <w:rPr>
                <w:rFonts w:ascii="Times New Roman" w:hAnsi="Times New Roman" w:cs="Times New Roman"/>
                <w:lang w:val="es-ES"/>
              </w:rPr>
              <w:t>e las vacunas. Nuevos desafíos.</w:t>
            </w:r>
          </w:p>
        </w:tc>
      </w:tr>
      <w:tr w:rsidR="00A45AF9" w:rsidRPr="00570671" w:rsidTr="00593F68">
        <w:trPr>
          <w:trHeight w:val="327"/>
        </w:trPr>
        <w:tc>
          <w:tcPr>
            <w:tcW w:w="4788" w:type="dxa"/>
          </w:tcPr>
          <w:p w:rsidR="00A45AF9" w:rsidRPr="00B67104" w:rsidRDefault="00A45AF9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lastRenderedPageBreak/>
              <w:t xml:space="preserve"> </w:t>
            </w:r>
            <w:r w:rsidRPr="00B67104">
              <w:rPr>
                <w:rFonts w:ascii="Times New Roman" w:hAnsi="Times New Roman" w:cs="Times New Roman"/>
              </w:rPr>
              <w:t>Bioestadística</w:t>
            </w:r>
          </w:p>
        </w:tc>
        <w:tc>
          <w:tcPr>
            <w:tcW w:w="1350" w:type="dxa"/>
          </w:tcPr>
          <w:p w:rsidR="00A45AF9" w:rsidRPr="00570671" w:rsidRDefault="00FE46D6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13-14 Noviembre</w:t>
            </w:r>
          </w:p>
        </w:tc>
        <w:tc>
          <w:tcPr>
            <w:tcW w:w="4002" w:type="dxa"/>
          </w:tcPr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 xml:space="preserve">Medición y recolección de datos. Evaluación de la calidad y análisis de los datos obtenidos. Procedimientos Estadísticos. Estadística descriptiva. Concepto de población y muestra. Estadísticos muestrales de posición y dispersión. </w:t>
            </w:r>
          </w:p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Tablas de distribución de frecuencias, percentiles. Muestreo aleatorio simple. Representaciones gráficas. Conceptos de variable aleatoria, probabilidad, función de distribución. Distribución normal. Distribución “t de Student”. Intervalos de confianza.</w:t>
            </w:r>
          </w:p>
          <w:p w:rsidR="004C3150" w:rsidRPr="004C3150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 xml:space="preserve">Pruebas de hipótesis. Errores tipo I y II. Nivel de significación y potencia de una prueba. Interpretación del valor p. Test de hipótesis para una muestra. Test de comparación de dos muestras. </w:t>
            </w:r>
          </w:p>
          <w:p w:rsidR="00A45AF9" w:rsidRPr="00570671" w:rsidRDefault="004C3150" w:rsidP="004C3150">
            <w:p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Comparación de varias muestras. Análisis de la Varianza. Introducción a los métodos no paramétricos. Análisis</w:t>
            </w:r>
            <w:r>
              <w:rPr>
                <w:rFonts w:ascii="Times New Roman" w:hAnsi="Times New Roman" w:cs="Times New Roman"/>
                <w:lang w:val="es-ES"/>
              </w:rPr>
              <w:t xml:space="preserve"> de regresión y de correlación.</w:t>
            </w:r>
          </w:p>
        </w:tc>
      </w:tr>
      <w:tr w:rsidR="004C3150" w:rsidRPr="0056754F" w:rsidTr="00593F68">
        <w:trPr>
          <w:trHeight w:val="327"/>
        </w:trPr>
        <w:tc>
          <w:tcPr>
            <w:tcW w:w="4788" w:type="dxa"/>
          </w:tcPr>
          <w:p w:rsidR="004C3150" w:rsidRPr="004C3150" w:rsidRDefault="004C3150" w:rsidP="00B67104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Cs/>
              </w:rPr>
              <w:t>Actividad práctica: Bioestadí</w:t>
            </w:r>
            <w:r w:rsidRPr="004C3150">
              <w:rPr>
                <w:rFonts w:ascii="Times New Roman" w:hAnsi="Times New Roman" w:cs="Times New Roman"/>
                <w:bCs/>
              </w:rPr>
              <w:t>stica</w:t>
            </w:r>
          </w:p>
        </w:tc>
        <w:tc>
          <w:tcPr>
            <w:tcW w:w="1350" w:type="dxa"/>
          </w:tcPr>
          <w:p w:rsidR="004C3150" w:rsidRPr="00570671" w:rsidRDefault="00600C57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13-14 Noviembre</w:t>
            </w:r>
          </w:p>
        </w:tc>
        <w:tc>
          <w:tcPr>
            <w:tcW w:w="4002" w:type="dxa"/>
          </w:tcPr>
          <w:p w:rsidR="00984806" w:rsidRPr="00984806" w:rsidRDefault="00984806" w:rsidP="00984806">
            <w:pPr>
              <w:rPr>
                <w:rFonts w:ascii="Times New Roman" w:hAnsi="Times New Roman" w:cs="Times New Roman"/>
                <w:lang w:val="es-ES"/>
              </w:rPr>
            </w:pPr>
            <w:r w:rsidRPr="00984806">
              <w:rPr>
                <w:rFonts w:ascii="Times New Roman" w:hAnsi="Times New Roman" w:cs="Times New Roman"/>
                <w:lang w:val="es-ES"/>
              </w:rPr>
              <w:t xml:space="preserve">Actividad en laboratorios de computación para ejercitación y aplicación de Bioestadística en el área de la Inmunología: estadística descriptiva. Estadísticos muestrales de posición y dispersión. </w:t>
            </w:r>
          </w:p>
          <w:p w:rsidR="00984806" w:rsidRPr="00984806" w:rsidRDefault="00984806" w:rsidP="00984806">
            <w:pPr>
              <w:rPr>
                <w:rFonts w:ascii="Times New Roman" w:hAnsi="Times New Roman" w:cs="Times New Roman"/>
                <w:lang w:val="es-ES"/>
              </w:rPr>
            </w:pPr>
            <w:r w:rsidRPr="00984806">
              <w:rPr>
                <w:rFonts w:ascii="Times New Roman" w:hAnsi="Times New Roman" w:cs="Times New Roman"/>
                <w:lang w:val="es-ES"/>
              </w:rPr>
              <w:t>Tablas de distribución de frecuencias, percentiles. Muestreo aleatorio simple. Representaciones gráficas. Distribución normal. Otras distribuciones. Construcción de intervalos de confianza. Interpretación</w:t>
            </w:r>
            <w:r>
              <w:rPr>
                <w:rFonts w:ascii="Times New Roman" w:hAnsi="Times New Roman" w:cs="Times New Roman"/>
                <w:lang w:val="es-ES"/>
              </w:rPr>
              <w:t xml:space="preserve"> del valor p. Test de hipótesis </w:t>
            </w:r>
            <w:r w:rsidRPr="00984806">
              <w:rPr>
                <w:rFonts w:ascii="Times New Roman" w:hAnsi="Times New Roman" w:cs="Times New Roman"/>
                <w:lang w:val="es-ES"/>
              </w:rPr>
              <w:t>para una muestra. Test de comparación de dos muestras. Comparación de varias muestras. Análisis de la Varianza. Introducción a los métodos no paramétricos. Análisis de regresión y de correlación.</w:t>
            </w:r>
          </w:p>
          <w:p w:rsidR="004C3150" w:rsidRPr="004C3150" w:rsidRDefault="00984806" w:rsidP="00984806">
            <w:pPr>
              <w:rPr>
                <w:rFonts w:ascii="Times New Roman" w:hAnsi="Times New Roman" w:cs="Times New Roman"/>
                <w:lang w:val="es-ES"/>
              </w:rPr>
            </w:pPr>
            <w:r w:rsidRPr="00984806">
              <w:rPr>
                <w:rFonts w:ascii="Times New Roman" w:hAnsi="Times New Roman" w:cs="Times New Roman"/>
                <w:lang w:val="es-ES"/>
              </w:rPr>
              <w:t>Errores en las mediciones y clasificaciones clínicas. Sensibilidad y especificidad</w:t>
            </w:r>
            <w:r>
              <w:rPr>
                <w:rFonts w:ascii="Times New Roman" w:hAnsi="Times New Roman" w:cs="Times New Roman"/>
                <w:lang w:val="es-ES"/>
              </w:rPr>
              <w:t xml:space="preserve"> diagnóstica, valor predictivo.</w:t>
            </w:r>
          </w:p>
        </w:tc>
      </w:tr>
      <w:tr w:rsidR="00A45AF9" w:rsidRPr="0056754F" w:rsidTr="00593F68">
        <w:trPr>
          <w:trHeight w:val="327"/>
        </w:trPr>
        <w:tc>
          <w:tcPr>
            <w:tcW w:w="4788" w:type="dxa"/>
          </w:tcPr>
          <w:p w:rsidR="00A45AF9" w:rsidRPr="004C3150" w:rsidRDefault="00A45AF9" w:rsidP="004C315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4C3150">
              <w:rPr>
                <w:rFonts w:ascii="Times New Roman" w:hAnsi="Times New Roman" w:cs="Times New Roman"/>
                <w:lang w:val="es-ES"/>
              </w:rPr>
              <w:t>Taller 2</w:t>
            </w:r>
            <w:r w:rsidRPr="004C3150">
              <w:rPr>
                <w:rFonts w:ascii="Times New Roman" w:hAnsi="Times New Roman" w:cs="Times New Roman"/>
                <w:lang w:val="es-ES"/>
              </w:rPr>
              <w:tab/>
              <w:t>: Elaboración y Presentación del proyecto de TFI</w:t>
            </w:r>
            <w:r w:rsidRPr="004C3150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1350" w:type="dxa"/>
          </w:tcPr>
          <w:p w:rsidR="00A45AF9" w:rsidRPr="00570671" w:rsidRDefault="00600C57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4-5 Diciembre</w:t>
            </w:r>
          </w:p>
        </w:tc>
        <w:tc>
          <w:tcPr>
            <w:tcW w:w="4002" w:type="dxa"/>
          </w:tcPr>
          <w:p w:rsidR="00A45AF9" w:rsidRPr="00570671" w:rsidRDefault="000C5D8B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0C5D8B">
              <w:rPr>
                <w:rFonts w:ascii="Times New Roman" w:hAnsi="Times New Roman" w:cs="Times New Roman"/>
                <w:lang w:val="es-ES"/>
              </w:rPr>
              <w:t xml:space="preserve">Diseño del proyecto de investigación. Principales puntos a desarrollar: Marco teórico, el planteamiento del problema, la </w:t>
            </w:r>
            <w:r w:rsidRPr="000C5D8B">
              <w:rPr>
                <w:rFonts w:ascii="Times New Roman" w:hAnsi="Times New Roman" w:cs="Times New Roman"/>
                <w:lang w:val="es-ES"/>
              </w:rPr>
              <w:lastRenderedPageBreak/>
              <w:t>relevancia, los objetivos, el diseño general y los específicos.</w:t>
            </w:r>
          </w:p>
        </w:tc>
      </w:tr>
      <w:tr w:rsidR="000C5D8B" w:rsidRPr="0056754F" w:rsidTr="00593F68">
        <w:trPr>
          <w:trHeight w:val="327"/>
        </w:trPr>
        <w:tc>
          <w:tcPr>
            <w:tcW w:w="4788" w:type="dxa"/>
          </w:tcPr>
          <w:p w:rsidR="000C5D8B" w:rsidRPr="004C3150" w:rsidRDefault="000C5D8B" w:rsidP="000C5D8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 w:rsidRPr="000C5D8B">
              <w:rPr>
                <w:rFonts w:ascii="Times New Roman" w:hAnsi="Times New Roman" w:cs="Times New Roman"/>
                <w:lang w:val="es-ES"/>
              </w:rPr>
              <w:lastRenderedPageBreak/>
              <w:t>Actividad practica: Presentación</w:t>
            </w:r>
            <w:r>
              <w:rPr>
                <w:rFonts w:ascii="Times New Roman" w:hAnsi="Times New Roman" w:cs="Times New Roman"/>
                <w:lang w:val="es-ES"/>
              </w:rPr>
              <w:t xml:space="preserve"> del TFI</w:t>
            </w:r>
          </w:p>
        </w:tc>
        <w:tc>
          <w:tcPr>
            <w:tcW w:w="1350" w:type="dxa"/>
          </w:tcPr>
          <w:p w:rsidR="000C5D8B" w:rsidRPr="00570671" w:rsidRDefault="00600C57" w:rsidP="002B7EC9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4-5 Diciembre</w:t>
            </w:r>
          </w:p>
        </w:tc>
        <w:tc>
          <w:tcPr>
            <w:tcW w:w="4002" w:type="dxa"/>
          </w:tcPr>
          <w:p w:rsidR="000C5D8B" w:rsidRPr="000C5D8B" w:rsidRDefault="000C5D8B" w:rsidP="002B7EC9">
            <w:pPr>
              <w:rPr>
                <w:rFonts w:ascii="Times New Roman" w:hAnsi="Times New Roman" w:cs="Times New Roman"/>
                <w:lang w:val="es-ES"/>
              </w:rPr>
            </w:pPr>
            <w:r w:rsidRPr="000C5D8B">
              <w:rPr>
                <w:rFonts w:ascii="Times New Roman" w:hAnsi="Times New Roman" w:cs="Times New Roman"/>
                <w:lang w:val="es-ES"/>
              </w:rPr>
              <w:t>Redacción del Proyecto s</w:t>
            </w:r>
            <w:r>
              <w:rPr>
                <w:rFonts w:ascii="Times New Roman" w:hAnsi="Times New Roman" w:cs="Times New Roman"/>
                <w:lang w:val="es-ES"/>
              </w:rPr>
              <w:t>iguiendo los lineamientos detallados</w:t>
            </w:r>
            <w:r w:rsidRPr="000C5D8B">
              <w:rPr>
                <w:rFonts w:ascii="Times New Roman" w:hAnsi="Times New Roman" w:cs="Times New Roman"/>
                <w:lang w:val="es-ES"/>
              </w:rPr>
              <w:t xml:space="preserve"> en el </w:t>
            </w:r>
            <w:r w:rsidRPr="0056754F">
              <w:rPr>
                <w:rFonts w:ascii="Times New Roman" w:hAnsi="Times New Roman" w:cs="Times New Roman"/>
                <w:lang w:val="es-ES"/>
              </w:rPr>
              <w:t>Anexo 2</w:t>
            </w:r>
            <w:r w:rsidR="0056754F" w:rsidRPr="0056754F">
              <w:rPr>
                <w:rFonts w:ascii="Times New Roman" w:hAnsi="Times New Roman" w:cs="Times New Roman"/>
                <w:lang w:val="es-ES"/>
              </w:rPr>
              <w:t xml:space="preserve"> del plan de estudios</w:t>
            </w:r>
            <w:r w:rsidRPr="0056754F">
              <w:rPr>
                <w:rFonts w:ascii="Times New Roman" w:hAnsi="Times New Roman" w:cs="Times New Roman"/>
                <w:lang w:val="es-ES"/>
              </w:rPr>
              <w:t>. Presentación del</w:t>
            </w:r>
            <w:r w:rsidRPr="000C5D8B">
              <w:rPr>
                <w:rFonts w:ascii="Times New Roman" w:hAnsi="Times New Roman" w:cs="Times New Roman"/>
                <w:lang w:val="es-ES"/>
              </w:rPr>
              <w:t xml:space="preserve"> proyecto. Cada participante realizará una presentación oral de 5 minutos de duración, sobre su proyecto de TFI y su significado. En ella, el especializando deberá explicar su proyecto de forma precisa enfatizando por qué sería relevante para su formación como Especialista en Inmunología.</w:t>
            </w:r>
          </w:p>
        </w:tc>
      </w:tr>
      <w:tr w:rsidR="0056754F" w:rsidRPr="0056754F" w:rsidTr="00092BA2">
        <w:trPr>
          <w:trHeight w:val="327"/>
        </w:trPr>
        <w:tc>
          <w:tcPr>
            <w:tcW w:w="4788" w:type="dxa"/>
          </w:tcPr>
          <w:p w:rsidR="0056754F" w:rsidRPr="000C5D8B" w:rsidRDefault="0056754F" w:rsidP="000C5D8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Examen módulo II</w:t>
            </w:r>
          </w:p>
        </w:tc>
        <w:tc>
          <w:tcPr>
            <w:tcW w:w="5352" w:type="dxa"/>
            <w:gridSpan w:val="2"/>
          </w:tcPr>
          <w:p w:rsidR="0056754F" w:rsidRPr="000C5D8B" w:rsidRDefault="0056754F" w:rsidP="0056754F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Fecha a definir en Febrero 2027</w:t>
            </w:r>
            <w:bookmarkStart w:id="0" w:name="_GoBack"/>
            <w:bookmarkEnd w:id="0"/>
          </w:p>
        </w:tc>
      </w:tr>
    </w:tbl>
    <w:p w:rsidR="0009380A" w:rsidRPr="005D1398" w:rsidRDefault="002B7EC9" w:rsidP="002B7EC9">
      <w:pPr>
        <w:rPr>
          <w:rFonts w:ascii="Times New Roman" w:hAnsi="Times New Roman" w:cs="Times New Roman"/>
          <w:lang w:val="es-ES"/>
        </w:rPr>
      </w:pP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570671">
        <w:rPr>
          <w:rFonts w:ascii="Times New Roman" w:hAnsi="Times New Roman" w:cs="Times New Roman"/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  <w:r w:rsidRPr="002B7EC9">
        <w:rPr>
          <w:lang w:val="es-ES"/>
        </w:rPr>
        <w:tab/>
      </w:r>
    </w:p>
    <w:sectPr w:rsidR="0009380A" w:rsidRPr="005D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8C8"/>
    <w:multiLevelType w:val="hybridMultilevel"/>
    <w:tmpl w:val="DBF87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226A"/>
    <w:multiLevelType w:val="hybridMultilevel"/>
    <w:tmpl w:val="10783F0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2375"/>
    <w:multiLevelType w:val="hybridMultilevel"/>
    <w:tmpl w:val="0C7EBAE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B07D7"/>
    <w:multiLevelType w:val="hybridMultilevel"/>
    <w:tmpl w:val="572A6A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9"/>
    <w:rsid w:val="0009380A"/>
    <w:rsid w:val="000C5D8B"/>
    <w:rsid w:val="001A4ADC"/>
    <w:rsid w:val="002670C2"/>
    <w:rsid w:val="002B7EC9"/>
    <w:rsid w:val="002D0B24"/>
    <w:rsid w:val="002F0CE7"/>
    <w:rsid w:val="00322754"/>
    <w:rsid w:val="00452866"/>
    <w:rsid w:val="004C3150"/>
    <w:rsid w:val="00556CAC"/>
    <w:rsid w:val="0056754F"/>
    <w:rsid w:val="00570671"/>
    <w:rsid w:val="0058120E"/>
    <w:rsid w:val="00593F68"/>
    <w:rsid w:val="005D1398"/>
    <w:rsid w:val="00600C57"/>
    <w:rsid w:val="008B43F3"/>
    <w:rsid w:val="00905430"/>
    <w:rsid w:val="009362C4"/>
    <w:rsid w:val="00984806"/>
    <w:rsid w:val="009D53EA"/>
    <w:rsid w:val="00A14D50"/>
    <w:rsid w:val="00A45AF9"/>
    <w:rsid w:val="00A5556B"/>
    <w:rsid w:val="00B67104"/>
    <w:rsid w:val="00C9016F"/>
    <w:rsid w:val="00C9737D"/>
    <w:rsid w:val="00DB28C2"/>
    <w:rsid w:val="00EE6089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A499"/>
  <w15:docId w15:val="{BF87472C-E98A-4857-9268-925B6E22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E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2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D5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caroa</dc:creator>
  <cp:lastModifiedBy>Eva Acosta Rodriguez</cp:lastModifiedBy>
  <cp:revision>2</cp:revision>
  <dcterms:created xsi:type="dcterms:W3CDTF">2025-07-21T15:11:00Z</dcterms:created>
  <dcterms:modified xsi:type="dcterms:W3CDTF">2025-07-21T15:11:00Z</dcterms:modified>
</cp:coreProperties>
</file>